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1c6d4c90e97428e" /><Relationship Type="http://schemas.openxmlformats.org/package/2006/relationships/metadata/core-properties" Target="/package/services/metadata/core-properties/e97c5030b2d54121951fc44383878b64.psmdcp" Id="R2877e3a7829b40f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«Нефрология детского возраста»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специальных профессиональных знаний и умений в области эндокринологии, необходимых для эффективной профессиональной и клинической деятельности специалиста в области нефрологии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специальных знаний по вопросам вторичных нефропатий при эндокринных заболеваниях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деятельности, необходимых для практической работы в области детской эндокринологии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как специалиста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Комплекс мероприятий, направленных на сохранение и укрепление здоровья детского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Формировать здоровый образ жизни, предупреждать возникновение и прогрессирование заболеваний у детей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ранней диагностики возникновения и прогрессирования заболеваний в детском возрасте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исследования с учетом современных представлений о нефрологической и эндокринологической патологии;основы международной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поражений эндокринной системы при заболеваниях органов мочевыделительной системы, а также возможных нефрологических поражений при эндокринных заболеваниях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пациента с нефрологической патологией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этиологию, патогенез и клинику основных заболеваний в соответствующей области применения методов терапии и особенности организации помощи больным различного возраста в специализированных стационарах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целесообразность к проведению терапии заболеваний мочевой системы у детей с эндокринопатиями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выбирать адекватные методы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отдельных лечебных процедур, методиками проведения лечебных вмешательств у пациентов с вторичными заболеваниями почек при эндокринопатиях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реабилитации и курортологии;основы общей патологии человека, иммунобиологии и реактивности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учесть деонтологические проблемы при принятии решения; квалифицированно оформлять медицинское заключение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психологии; последовательным и комплексным подходом к проведению медицинской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Нефрология детского возраста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Общие вопросы нефрологии. Роль и методы функциональной диагностики в нефрологии. Методы обследования нефрологического пациента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тактика ведения детей с вторичным поражением почек при эндокринопатиях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Инфекции мочевой системы. Обследование пациента с поражением мочевой системы. Лабораторная, инструментальная диагностика. Принципы лечения.Особенности ИМС при эндокринных заболеваниях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Гломерулонефропатии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Диабетическая нефропатия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Хроническая болезнь почек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Протоколы диагностики и лечения заболеваний органов мочевой системы у детей / под ред. д.м.н., проф. А.А. Вялковой [и др.]; утвержденное учебно-методическим объединением по медицинскому и фармацевтическому образованию ВУЗов России (УМО).- - 2010. -Ч.I .- 253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Современные технологии ранней диагностики и реабилитации пациентов с патологией почек [Электронный ресурс] : монография / И. В. Зорин [и др.] ; ред.: А. А. Вялкова, Н. А. Хрущева ; ОрГМУ, УрГМУ, МНОО "Ассоциация нефроурологов". - 3-е изд., испр. и доп. - Оренбург : [б. и.], 2018. - 212 on-line.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нефрология детского возраста : руководство для врачей / А. В. Папаян, Н. Д. Савенкова. - изд. доп. и перераб. - СПб. : Левша. Санкт-Петербург, 2008. - 600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Специализированная медицинская помощь детям с заболеваниями органов мочевой системы: монография / А. А. Вялкова, Н. Ю. Перепелкина, В. А. Архиреева; под ред. А. А. Вялковой. - М. : Медицина, 2003. - 168 с on-line. - Б. ц.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Томилина Н.А., Хроническая болезнь почек. Избранные главы нефрологии [Электронный ресурс] / Н.А. Томилина - М. : ГЭОТАР-Медиа, 2017. - 512 с. - ISBN 978-5-9704-4192-3 - Режим доступа: https://www.rosmedlib.ru/book/ISBN9785970441923.html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Мазанкова Л.Н., Микродисбиоз и эндогенные инфекции : руководство для врачей [Электронный ресурс] / Мазанкова Л.Н., Рыбальченко О.В., Николаева И.В. - М. : ГЭОТАР-Медиа, 2018. - 336 с. - ISBN 978-5-9704-4701-7 - Режим доступа: https://www.rosmedlib.ru/book/ISBN9785970447017.html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Милованова Л.Ю., Нарушения минерального и костного обмена при хронической болезни почек. Роль фактора роста фибробластов-23, Клото и склеростина [Электронный ресурс] / Милованова Л.Ю. - М. : ГЭОТАР-Медиа, 2018. - 144 с. (Серия "Библиотека врача-специалиста") - ISBN 978-5-9704-4388-0 - Режим доступа: https://www.rosmedlib.ru/book/ISBN9785970443880.html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31,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№21;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№52;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